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【韩国一日游】爱宝乐园（含通票）/乐天免税店 |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KR20231221003ZZ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韩国-首尔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7-9座商务车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去韩国感受浪漫的韩风， 传统/韩流/时尚购物等路线攻略。
                <w:br/>
                纯玩+商务车出游+全程10小时+上门接送+中文司兼导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爱宝乐园（含通票）--乐天免税店
                <w:br/>
                首尔市区内上门接送，全程中文司导10小时服务；
                <w:br/>
                游览【爱宝乐园】韩国最受欢迎的主题公园，送给游客无尽的快乐与幻想，惊险和刺激，风景及浪漫，由5大主题区组成：环球集市、美洲冒险区、魔术天地、欧洲冒险区以及动物王国。园区内不仅有惊险刺激的各种游乐设施，更有激情欢快的表演，同时也是多部韩国电视剧以及综艺节目的拍摄地。
                <w:br/>
                交通：7-9座商务车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1、全程司兼导商务车
                <w:br/>
                2、用车时间06:00-20:00点时间内任意10小时，超时费200元/小时（当场支付给导游）
                <w:br/>
                3、爱宝乐园（含通票）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1、全程餐自理；
                <w:br/>
                2、一切个人消费及费用包含中未提及的任何费用。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请确保身体健康适宜旅游，如出行人中有70周岁（含）以上老人，须至少有1位19周岁-69周岁亲友陪同方可参团，出于安全考虑，本产品不接受孕妇预定，敬请谅解。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行程前2日 扣团费50%
                <w:br/>
                行程前1日 扣团费100%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2026-04-19T20:55:04+08:00</dcterms:created>
  <dcterms:modified xsi:type="dcterms:W3CDTF">2026-04-19T20:55:04+08:00</dcterms:modified>
</cp:coreProperties>
</file>

<file path=docProps/custom.xml><?xml version="1.0" encoding="utf-8"?>
<Properties xmlns="http://schemas.openxmlformats.org/officeDocument/2006/custom-properties" xmlns:vt="http://schemas.openxmlformats.org/officeDocument/2006/docPropsVTypes"/>
</file>