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江门碧海银湖半岛 蔡李佛始祖馆 古兜温泉度假小镇  深度2天行程单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YX1598234055B6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江门市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08:00海珠广场地铁站F出口（华厦大酒店）
                <w:br/>
                08:50番禺广场地铁C出口（肯德基基盛万科店）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★重本包含【古兜自助早餐】【古兜特制宵夜】【新会特色点心】。
                <w:br/>
                ★品尝江门【新会农家宴】【下午茶龟苓膏】。
                <w:br/>
                ★重本升级无限次古兜水世界门票+一次古兜温泉门票。
                <w:br/>
                ★入住古兜溫泉小鎮湖景金熙酒店，或别墅客房，或别墅景观客房。
                <w:br/>
                ★参观国家级非物质文化遗产蔡李佛拳的传承保护单位——蔡李佛始祖馆。
                <w:br/>
                ★打卡“网红天空之城”-银湖半岛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出发-银湖半岛-古兜温泉度假村入住
                <w:br/>
                早上于指定时间集中乘车前往中国的侨乡【江门新会】、观广东“网红抖音”霸屏—-南方“天空之城”小希腊 【江门银湖浪漫半岛】栈道桥耗资200多万,一侧为水杉林与狼尾草坡,负氧离子丰富,空气清新,这类栈视道日后会运用到各个生活板块之【浪漫天海之门】被誉为穿越天空和大海之门,也是景区打造成恋人的摄影基地受地中风情的建筑、山、石的完美结合。让你感觉身在希腊“天空之城”,跟“抖音拼”刷屏量。【云之亭】主筑灵感来源于古希腊苍书之服,体造型也是由高科技30打印技术精工琢,一体成型。通体纯白钢琴烤漆,指映成趣,于平面中散发这闪解般的光彩,顺着湖中长长的浮板桥,便可直走向度假中心前广场。星光广场】锚在地上的水录白大耳耗资 300余万,把 200多只小灯珠均匀的镶嵌在地面上,夜晚来临的时候,他们将星光点点的映衬着主体建筑筑,【奇么林】步入奇幻森林之后,这是“奇花异草”的世界,提括了数千品种的植物,是设计大师辛苦搜寻精心。（车程2小时、停留约1.5小时）12：00-14:00前往古兜温泉度假村、抵达后午餐自理、14:00后集中前往大堂办理入住、【古兜温泉度假小镇】国家AAAA级旅游景区，靠山面海，拥有山、泉、湖、海于一体的自然风光资源和丰富的地下温泉资源。古兜温泉小镇，现已建成六大主题酒店：皇家SPA酒店、温泉别墅酒店、乐活城酒店、假日湖景酒店、山海度假公寓酒店，月泉湖居及七大功能项目配套：世界罕有的一地两泉古兜温泉谷、纯天然水的古兜山泉水世界、餐饮与国际会议中心、古兜财神缆车、古兜财神玻璃桥、泉天地商业街、泉情公园等服务设施，是一个集自然风光、温泉养生、康体娱乐、美食购物、商务会议于一体的四季旅游度假胜地。
                <w:br/>
                入住后自由活动，晚餐自理。可自由浸泡古兜温泉（如安排入住湖景金熙酒店，安排单次【月泉汤】泡温泉，如安排入住别墅或别墅景观客房，则安排单次【温泉谷】泡温泉），是目前广东省乃至全世界罕有的“一地两泉”温泉，同时拥有两种不同类型的温泉资源：一种是海洋温泉，一种是氡温泉。也可以无限次畅游【古兜山泉水世界】山泉水世界面积达13万平方米 ，最独特之处里面的水都是纯天然无污染的清凉山泉水，水质细腻柔滑，也很干净，水温常年保持在25℃以下，有“清凉世界”之誉。这里是仿生态沙滩式的水上乐园，脚踩的可都是细软的沙子，让人有置身海边的感觉，除了玩水，你还可以堆沙雕，在棕榈树下小憩。
                <w:br/>
                下午茶时间，可享用新会特色下午茶【双水特色马仔+新会陈皮水】（因时间关系，下午茶均为独立包装，由导游在车上或入住前派发）。
                <w:br/>
                交通：空调旅游车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古兜温泉度假村</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早餐-自由活动-蔡李佛始祖馆-陈皮村-回程
                <w:br/>
                早上睡到自然醒，然后自行前往餐厅享用豪华自助早餐，餐后可以自由在古兜温泉度假小镇自费游玩财神玻璃桥、财神缆车、浸泡温泉等等。
                <w:br/>
                11：00集中办理退房，后前往农庄享用午餐
                <w:br/>
                13:00-14::30前往参观【蔡李佛洪圣始祖馆】（车程约40分钟，停留约45分钟），洪圣始祖馆是一座清代古建筑，青砖黛瓦，古色古香。这里是岭南武林中的一大流派蔡李佛拳创始人陈享开设的第一间武馆，民国24年（1935年）曾重修，面积约300平方米。蔡李佛武术从新会乡村京梅起步，走遍南粤大地，走进全国，走向全世界，风行170多年，成为中华武术的一大流派，“洪圣”（鸿胜、雄胜）也随之扬名天下。该馆址是著名蔡李佛武术现存最早的活动场所，目前是开展武术活动的主要场所，具有历史研究价值和实用价值。村内巷子里藏着有一幅幅生动形象的武术秘籍墙绘——五音标识、十大技法、兵器的运用，还有一比一仿真模型可以让你互动一展身手，走完巷子出来仿佛吸收了蔡李佛拳法的精髓，如龙虎附身，跃跃欲试。
                <w:br/>
                14:30-15:30前往陈皮村参观（品尝下午茶陈皮龟苓膏）后自由游览参观。（车程50分钟，停留约40分钟）
                <w:br/>
                16：10集中返回广州温馨的家
                <w:br/>
                交通：空调旅游车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集合站点</w:t>
      </w:r>
    </w:p>
    <w:tbl>
      <w:tblGrid>
        <w:gridCol w:w="2500" w:type="dxa"/>
        <w:gridCol w:w="1000" w:type="dxa"/>
        <w:gridCol w:w="1500" w:type="dxa"/>
        <w:gridCol w:w="1500" w:type="dxa"/>
        <w:gridCol w:w="1000" w:type="dxa"/>
        <w:gridCol w:w="1500" w:type="dxa"/>
        <w:gridCol w:w="1500" w:type="dxa"/>
      </w:tblGrid>
      <w:tblPr>
        <w:tblStyle w:val="lineStationSiteList"/>
      </w:tblPr>
      <w:tr>
        <w:trPr/>
        <w:tc>
          <w:tcPr>
            <w:tcW w:w="2500" w:type="dxa"/>
            <w:vAlign w:val="center"/>
            <w:shd w:val="clear" w:fill="efefef"/>
          </w:tcPr>
          <w:p>
            <w:pPr>
              <w:pStyle w:val="center"/>
            </w:pPr>
            <w:r>
              <w:rPr>
                <w:rFonts w:ascii="宋体" w:hAnsi="宋体" w:eastAsia="宋体" w:cs="宋体"/>
                <w:color w:val="000000"/>
                <w:sz w:val="20"/>
                <w:szCs w:val="20"/>
                <w:b/>
                <w:bCs/>
              </w:rPr>
              <w:t xml:space="preserve">名称</w:t>
            </w:r>
          </w:p>
        </w:tc>
        <w:tc>
          <w:tcPr>
            <w:tcW w:w="1000" w:type="dxa"/>
            <w:vAlign w:val="center"/>
            <w:shd w:val="clear" w:fill="efefef"/>
          </w:tcPr>
          <w:p>
            <w:pPr>
              <w:pStyle w:val="center"/>
            </w:pPr>
            <w:r>
              <w:rPr>
                <w:rFonts w:ascii="宋体" w:hAnsi="宋体" w:eastAsia="宋体" w:cs="宋体"/>
                <w:color w:val="000000"/>
                <w:sz w:val="20"/>
                <w:szCs w:val="20"/>
                <w:b/>
                <w:bCs/>
              </w:rPr>
              <w:t xml:space="preserve">回程</w:t>
            </w:r>
          </w:p>
        </w:tc>
        <w:tc>
          <w:tcPr>
            <w:tcW w:w="1500" w:type="dxa"/>
            <w:vAlign w:val="center"/>
            <w:shd w:val="clear" w:fill="efefef"/>
          </w:tcPr>
          <w:p>
            <w:pPr>
              <w:pStyle w:val="center"/>
            </w:pPr>
            <w:r>
              <w:rPr>
                <w:rFonts w:ascii="宋体" w:hAnsi="宋体" w:eastAsia="宋体" w:cs="宋体"/>
                <w:color w:val="000000"/>
                <w:sz w:val="20"/>
                <w:szCs w:val="20"/>
                <w:b/>
                <w:bCs/>
              </w:rPr>
              <w:t xml:space="preserve">上车时间</w:t>
            </w:r>
          </w:p>
        </w:tc>
        <w:tc>
          <w:tcPr>
            <w:tcW w:w="1500" w:type="dxa"/>
            <w:vAlign w:val="center"/>
            <w:shd w:val="clear" w:fill="efefef"/>
          </w:tcPr>
          <w:p>
            <w:pPr>
              <w:pStyle w:val="center"/>
            </w:pPr>
            <w:r>
              <w:rPr>
                <w:rFonts w:ascii="宋体" w:hAnsi="宋体" w:eastAsia="宋体" w:cs="宋体"/>
                <w:color w:val="000000"/>
                <w:sz w:val="20"/>
                <w:szCs w:val="20"/>
                <w:b/>
                <w:bCs/>
              </w:rPr>
              <w:t xml:space="preserve">单价(元/人)</w:t>
            </w:r>
          </w:p>
        </w:tc>
        <w:tc>
          <w:tcPr>
            <w:tcW w:w="1000" w:type="dxa"/>
            <w:vAlign w:val="center"/>
            <w:shd w:val="clear" w:fill="efefef"/>
          </w:tcPr>
          <w:p>
            <w:pPr>
              <w:pStyle w:val="center"/>
            </w:pPr>
            <w:r>
              <w:rPr>
                <w:rFonts w:ascii="宋体" w:hAnsi="宋体" w:eastAsia="宋体" w:cs="宋体"/>
                <w:color w:val="000000"/>
                <w:sz w:val="20"/>
                <w:szCs w:val="20"/>
                <w:b/>
                <w:bCs/>
              </w:rPr>
              <w:t xml:space="preserve">回程</w:t>
            </w:r>
          </w:p>
        </w:tc>
        <w:tc>
          <w:tcPr>
            <w:tcW w:w="1500" w:type="dxa"/>
            <w:vAlign w:val="center"/>
            <w:shd w:val="clear" w:fill="efefef"/>
          </w:tcPr>
          <w:p>
            <w:pPr>
              <w:pStyle w:val="center"/>
            </w:pPr>
            <w:r>
              <w:rPr>
                <w:rFonts w:ascii="宋体" w:hAnsi="宋体" w:eastAsia="宋体" w:cs="宋体"/>
                <w:color w:val="000000"/>
                <w:sz w:val="20"/>
                <w:szCs w:val="20"/>
                <w:b/>
                <w:bCs/>
              </w:rPr>
              <w:t xml:space="preserve">上车时间</w:t>
            </w:r>
          </w:p>
        </w:tc>
        <w:tc>
          <w:tcPr>
            <w:tcW w:w="1500" w:type="dxa"/>
            <w:vAlign w:val="center"/>
            <w:shd w:val="clear" w:fill="efefef"/>
          </w:tcPr>
          <w:p>
            <w:pPr>
              <w:pStyle w:val="center"/>
            </w:pPr>
            <w:r>
              <w:rPr>
                <w:rFonts w:ascii="宋体" w:hAnsi="宋体" w:eastAsia="宋体" w:cs="宋体"/>
                <w:color w:val="000000"/>
                <w:sz w:val="20"/>
                <w:szCs w:val="20"/>
                <w:b/>
                <w:bCs/>
              </w:rPr>
              <w:t xml:space="preserve">单价(元/人)</w:t>
            </w:r>
          </w:p>
        </w:tc>
      </w:tr>
      <w:tr>
        <w:trPr/>
        <w:tc>
          <w:tcPr>
            <w:tcW w:w="2500" w:type="dxa"/>
          </w:tcPr>
          <w:p>
            <w:pPr>
              <w:pStyle w:val="center"/>
            </w:pPr>
            <w:r>
              <w:rPr>
                <w:rFonts w:ascii="宋体" w:hAnsi="宋体" w:eastAsia="宋体" w:cs="宋体"/>
                <w:color w:val="000000"/>
                <w:sz w:val="20"/>
                <w:szCs w:val="20"/>
                <w:b/>
                <w:bCs/>
              </w:rPr>
              <w:t xml:space="preserve">海珠广场华厦大酒店旁中国银行门口（近地铁海珠广场站F出口）</w:t>
            </w:r>
          </w:p>
        </w:tc>
        <w:tc>
          <w:tcPr>
            <w:tcW w:w="1000" w:type="dxa"/>
          </w:tcPr>
          <w:p>
            <w:pPr>
              <w:pStyle w:val="center"/>
            </w:pPr>
            <w:r>
              <w:rPr>
                <w:rFonts w:ascii="宋体" w:hAnsi="宋体" w:eastAsia="宋体" w:cs="宋体"/>
                <w:color w:val="000000"/>
                <w:sz w:val="20"/>
                <w:szCs w:val="20"/>
                <w:b/>
                <w:bCs/>
              </w:rPr>
              <w:t xml:space="preserve">√</w:t>
            </w:r>
          </w:p>
        </w:tc>
        <w:tc>
          <w:tcPr>
            <w:tcW w:w="1500" w:type="dxa"/>
          </w:tcPr>
          <w:p>
            <w:pPr>
              <w:pStyle w:val="center"/>
            </w:pPr>
            <w:r>
              <w:rPr>
                <w:rFonts w:ascii="宋体" w:hAnsi="宋体" w:eastAsia="宋体" w:cs="宋体"/>
                <w:color w:val="000000"/>
                <w:sz w:val="20"/>
                <w:szCs w:val="20"/>
                <w:b/>
                <w:bCs/>
              </w:rPr>
              <w:t xml:space="preserve">08:00</w:t>
            </w:r>
          </w:p>
        </w:tc>
        <w:tc>
          <w:tcPr>
            <w:tcW w:w="1500" w:type="dxa"/>
          </w:tcPr>
          <w:p>
            <w:pPr>
              <w:pStyle w:val="center"/>
            </w:pPr>
            <w:r>
              <w:rPr>
                <w:rFonts w:ascii="宋体" w:hAnsi="宋体" w:eastAsia="宋体" w:cs="宋体"/>
                <w:color w:val="000000"/>
                <w:sz w:val="20"/>
                <w:szCs w:val="20"/>
                <w:b/>
                <w:bCs/>
              </w:rPr>
              <w:t xml:space="preserve">0</w:t>
            </w:r>
          </w:p>
        </w:tc>
        <w:tc>
          <w:tcPr>
            <w:tcW w:w="1000" w:type="dxa"/>
          </w:tcPr>
          <w:p>
            <w:pPr>
              <w:pStyle w:val="center"/>
            </w:pPr>
            <w:r>
              <w:rPr>
                <w:rFonts w:ascii="宋体" w:hAnsi="宋体" w:eastAsia="宋体" w:cs="宋体"/>
                <w:color w:val="000000"/>
                <w:sz w:val="20"/>
                <w:szCs w:val="20"/>
                <w:b/>
                <w:bCs/>
              </w:rPr>
              <w:t xml:space="preserve">-</w:t>
            </w:r>
          </w:p>
        </w:tc>
        <w:tc>
          <w:tcPr>
            <w:tcW w:w="1500" w:type="dxa"/>
          </w:tcPr>
          <w:p>
            <w:pPr>
              <w:pStyle w:val="center"/>
            </w:pPr>
            <w:r>
              <w:rPr>
                <w:rFonts w:ascii="宋体" w:hAnsi="宋体" w:eastAsia="宋体" w:cs="宋体"/>
                <w:color w:val="000000"/>
                <w:sz w:val="20"/>
                <w:szCs w:val="20"/>
                <w:b/>
                <w:bCs/>
              </w:rPr>
              <w:t xml:space="preserve"/>
            </w:r>
          </w:p>
        </w:tc>
        <w:tc>
          <w:tcPr>
            <w:tcW w:w="1500" w:type="dxa"/>
          </w:tcPr>
          <w:p>
            <w:pPr>
              <w:pStyle w:val="center"/>
            </w:pPr>
            <w:r>
              <w:rPr>
                <w:rFonts w:ascii="宋体" w:hAnsi="宋体" w:eastAsia="宋体" w:cs="宋体"/>
                <w:color w:val="000000"/>
                <w:sz w:val="20"/>
                <w:szCs w:val="20"/>
                <w:b/>
                <w:bCs/>
              </w:rPr>
              <w:t xml:space="preserve">0</w:t>
            </w:r>
          </w:p>
        </w:tc>
      </w:tr>
      <w:tr>
        <w:trPr/>
        <w:tc>
          <w:tcPr>
            <w:tcW w:w="2500" w:type="dxa"/>
          </w:tcPr>
          <w:p>
            <w:pPr>
              <w:pStyle w:val="center"/>
            </w:pPr>
            <w:r>
              <w:rPr>
                <w:rFonts w:ascii="宋体" w:hAnsi="宋体" w:eastAsia="宋体" w:cs="宋体"/>
                <w:color w:val="000000"/>
                <w:sz w:val="20"/>
                <w:szCs w:val="20"/>
                <w:b/>
                <w:bCs/>
              </w:rPr>
              <w:t xml:space="preserve">番禺广场（地铁C出口基盛万科）</w:t>
            </w:r>
          </w:p>
        </w:tc>
        <w:tc>
          <w:tcPr>
            <w:tcW w:w="1000" w:type="dxa"/>
          </w:tcPr>
          <w:p>
            <w:pPr>
              <w:pStyle w:val="center"/>
            </w:pPr>
            <w:r>
              <w:rPr>
                <w:rFonts w:ascii="宋体" w:hAnsi="宋体" w:eastAsia="宋体" w:cs="宋体"/>
                <w:color w:val="000000"/>
                <w:sz w:val="20"/>
                <w:szCs w:val="20"/>
                <w:b/>
                <w:bCs/>
              </w:rPr>
              <w:t xml:space="preserve">√</w:t>
            </w:r>
          </w:p>
        </w:tc>
        <w:tc>
          <w:tcPr>
            <w:tcW w:w="1500" w:type="dxa"/>
          </w:tcPr>
          <w:p>
            <w:pPr>
              <w:pStyle w:val="center"/>
            </w:pPr>
            <w:r>
              <w:rPr>
                <w:rFonts w:ascii="宋体" w:hAnsi="宋体" w:eastAsia="宋体" w:cs="宋体"/>
                <w:color w:val="000000"/>
                <w:sz w:val="20"/>
                <w:szCs w:val="20"/>
                <w:b/>
                <w:bCs/>
              </w:rPr>
              <w:t xml:space="preserve">08:50</w:t>
            </w:r>
          </w:p>
        </w:tc>
        <w:tc>
          <w:tcPr>
            <w:tcW w:w="1500" w:type="dxa"/>
          </w:tcPr>
          <w:p>
            <w:pPr>
              <w:pStyle w:val="center"/>
            </w:pPr>
            <w:r>
              <w:rPr>
                <w:rFonts w:ascii="宋体" w:hAnsi="宋体" w:eastAsia="宋体" w:cs="宋体"/>
                <w:color w:val="000000"/>
                <w:sz w:val="20"/>
                <w:szCs w:val="20"/>
                <w:b/>
                <w:bCs/>
              </w:rPr>
              <w:t xml:space="preserve">0</w:t>
            </w:r>
          </w:p>
        </w:tc>
        <w:tc>
          <w:tcPr>
            <w:tcW w:w="1000" w:type="dxa"/>
          </w:tcPr>
          <w:p>
            <w:pPr>
              <w:pStyle w:val="center"/>
            </w:pPr>
            <w:r>
              <w:rPr>
                <w:rFonts w:ascii="宋体" w:hAnsi="宋体" w:eastAsia="宋体" w:cs="宋体"/>
                <w:color w:val="000000"/>
                <w:sz w:val="20"/>
                <w:szCs w:val="20"/>
                <w:b/>
                <w:bCs/>
              </w:rPr>
              <w:t xml:space="preserve">-</w:t>
            </w:r>
          </w:p>
        </w:tc>
        <w:tc>
          <w:tcPr>
            <w:tcW w:w="1500" w:type="dxa"/>
          </w:tcPr>
          <w:p>
            <w:pPr>
              <w:pStyle w:val="center"/>
            </w:pPr>
            <w:r>
              <w:rPr>
                <w:rFonts w:ascii="宋体" w:hAnsi="宋体" w:eastAsia="宋体" w:cs="宋体"/>
                <w:color w:val="000000"/>
                <w:sz w:val="20"/>
                <w:szCs w:val="20"/>
                <w:b/>
                <w:bCs/>
              </w:rPr>
              <w:t xml:space="preserve"/>
            </w:r>
          </w:p>
        </w:tc>
        <w:tc>
          <w:tcPr>
            <w:tcW w:w="1500" w:type="dxa"/>
          </w:tcPr>
          <w:p>
            <w:pPr>
              <w:pStyle w:val="center"/>
            </w:pPr>
            <w:r>
              <w:rPr>
                <w:rFonts w:ascii="宋体" w:hAnsi="宋体" w:eastAsia="宋体" w:cs="宋体"/>
                <w:color w:val="000000"/>
                <w:sz w:val="20"/>
                <w:szCs w:val="20"/>
                <w:b/>
                <w:bCs/>
              </w:rPr>
              <w:t xml:space="preserve">0</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交通：按实际参团人数安排空调旅游巴士，每人1正座
                <w:br/>
                用餐：含1正1早1下午茶1下午茶龟宁膏1特制宵夜（此为团队用餐，不用餐不退费）
                <w:br/>
                住宿：湖景金熙酒店、别墅或景观房（随机安排）（没有三人房，单人需补房差170元/床位/晚,不设退房差、单人必须补房差不能同价放弃床位）
                <w:br/>
                导游：提供专业导游服务
                <w:br/>
                门票：含行程所列景点第一道大门票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1.费用包含以外的一切个人消费；
                <w:br/>
                注意：行程中未提到的其他费用和个人消费和购买手信的费用;因交通延误、取消等意外事件或战争、罢工、自然灾害等不可抗力导致的额外费用；因游客违约、自身过错、自身疾病导致的人身财产损失而额外支付的费用。
                <w:br/>
                2.个人旅游意外险。（为了您的旅途安全，特别建议宾客自行购买，费用可咨询我公司销售人员）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我社将按实际人数安排合适车型，并安排巴士座位，上车请对号入座；车牌号、座位号以及陪同联系方式将在出行前一天20：00点前以短信形式通知，敬请留意；如您在出行前一天20：00尚未收到短信，请速来电咨询
                <w:br/>
                请客人准时到达出团集合地点，过时不候。
                <w:br/>
                3、旅行社会按照本团客人的报名先后顺序统一安排坐车座位。如车上有老弱妇孺需要照顾的，请客人自觉礼让。
                <w:br/>
                4、客人应妥善保管自己的行李物品（特别是现金、有价证券以及贵重物品等）。
                <w:br/>
                5、本团不发旅行袋及旅游帽。
                <w:br/>
                6、车上空调较凉请自备保暖衣物，如有晕车的朋友请带上晕车药，途中怕肚子饿的朋友们也可以先前准备一些干粮！
                <w:br/>
                7、18岁以下未成年人如没有成人陪同参团，必须有法定监护人签名同意书方可。
                <w:br/>
                8、紧急报警电话110，急救中心电话120。
                <w:br/>
                9、本团30人以上成团，如不成团则提前2-3天通知、不另做赔偿敬请留意。
                <w:br/>
                10、该线我公司与“广州市途喜国际旅行社有限公司”（营业执照注册号：440105000449442）共同组团出发；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1、客人出团当天需要出示穗康码和接受体温测量，如出现下列情况之一，视为因客人原因退团，按照《广州市国内旅游组团合同》第28条约定处理。旅行社有权拒绝客人上车，客人应自觉配合。
                <w:br/>
                （1）客人不能出示穗康码或穗康码过期无效；
                <w:br/>
                （2）客人出示的穗康码背景颜色为 “红码”高风险状态的；
                <w:br/>
                （3）客人拒绝接受旅行社或相关部门体温测量；或受相关部门要求进行留观处理无法跟随团队行进的；
                <w:br/>
                （4）客人通过药物等其他方式降低体温，隐瞒病情。
                <w:br/>
                2、如客人出团当天出示的穗康码处于有效期内，且穗康码背景颜色为“ 蓝码”或“绿码”低风险状态的，但体温测量超过（含）37.3℃，旅行社有权拒绝客人上车，并视为双方解除合同，客人应自觉配合。
                <w:br/>
                3、客人在车内、室内、人多的地方必须配带口罩，在游览过程中不聚众，与前后游客保持安全的距离。
                <w:br/>
                4、旅行社强烈建议出行游客购买个人旅游意外保险。具体保险险种请在报名时向销售人员咨询并购买，出行时请将该保单资料随身携带。
                <w:br/>
                5、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6、请客人准时到达出团集合地点，过时不候。
                <w:br/>
                <w:br/>
                温泉注意事项：
                <w:br/>
                1.温泉浴可反复浸泡，每隔20分钟应上池边歇歇，喝点饮料补充水分。
                <w:br/>
                2.在热腾腾的温泉池里，爱美的女性可以敷上面膜，或用冷毛巾抹抹脸，更有利于美容。
                <w:br/>
                3.温泉水中含矿物质，泡过温泉后尽量少用沐浴液，用清水冲身更有利于保持附着在皮肤上的矿物质。
                <w:br/>
                4.泡温泉时可合上双眼，以冥想的心情，缓缓地深呼吸数次，达到释放身心压力的效果。
                <w:br/>
                5.泡温泉前一定要把身上的金属饰品摘下来，否则首饰会被泉水中的矿物质"染黑"。
                <w:br/>
                6.进入温泉池前，脚先入池，先泡双脚，再用双手不停地将水温泼淋全身，适应水温后才全身浸入。
                <w:br/>
                7.泡温泉时不要同时按摩。因为泡温泉时身体的血液循环和心脏的跳动次数都加快，如果同时按摩会加大了心脏的负担。
                <w:br/>
                8.建议酒后切勿浸泡，否则容易醉酒或出现其它不适症状。肚子太饿或太饱都不适宜浸泡温泉，须稍作休息后方可浸泡温泉。患有急性病症、传染病、高血压等症状的患者，不宜浸泡温泉，如要浸泡，请在医生指导下进行浸泡。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tationSiteList">
    <w:name w:val="lineStationSiteLi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2026-08-12T13:29:27+08:00</dcterms:created>
  <dcterms:modified xsi:type="dcterms:W3CDTF">2026-08-12T13:29:27+08:00</dcterms:modified>
</cp:coreProperties>
</file>

<file path=docProps/custom.xml><?xml version="1.0" encoding="utf-8"?>
<Properties xmlns="http://schemas.openxmlformats.org/officeDocument/2006/custom-properties" xmlns:vt="http://schemas.openxmlformats.org/officeDocument/2006/docPropsVTypes"/>
</file>