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【航空公司】广州直飞土耳其首都伊斯坦布尔（全国联运+500）
                <w:br/>
                【酒店标准】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上午：酒店早餐后前往参观现仍保存得极为完整的以弗所古城（约2小时）；
                <w:br/>
                随后参观【阿尔忒弥斯神庙】（参观约10分钟左右）；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br/>
                9.司机导游服务费：2000元/人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全程单房差RMB3000（酒店单房差仅指普通单人间(如客人要求大床单间或单独一人住标双，单房差另议)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棉花堡滑翔伞</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br/>
                最低人数：8人
                <w:br/>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自费项目价格会随淡旺季或季节性进行调整，请按出团通知书为准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2026-07-19T12:23:59+08:00</dcterms:created>
  <dcterms:modified xsi:type="dcterms:W3CDTF">2026-07-19T12:23:59+08:00</dcterms:modified>
</cp:coreProperties>
</file>

<file path=docProps/custom.xml><?xml version="1.0" encoding="utf-8"?>
<Properties xmlns="http://schemas.openxmlformats.org/officeDocument/2006/custom-properties" xmlns:vt="http://schemas.openxmlformats.org/officeDocument/2006/docPropsVTypes"/>
</file>