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5、用车安排：4人以下：5座新能源车/7座商务车；4人以上：9座豪华商务车出行；司机兼向导服务（行程内提供驾驶和基础向导服务，非专业导游水准，无导游，不进景区，也无额外消费）；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4、用车：9座豪华商务车出行；（如客人因自身原因造成景区未去，车费不退），如成团人数不足4人以下：5座新能源车/7座商务车；随车配备USB充电接口或全程配备充电宝。
                <w:br/>
                5、导游：无；安排司机兼向导服务（行程内提供驾驶和基础向导服务，非专业导游水准，无导游，不进景区，也无额外消费）；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导游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2025-06-11T04:45:32+08:00</dcterms:created>
  <dcterms:modified xsi:type="dcterms:W3CDTF">2025-06-11T04:45:32+08:00</dcterms:modified>
</cp:coreProperties>
</file>

<file path=docProps/custom.xml><?xml version="1.0" encoding="utf-8"?>
<Properties xmlns="http://schemas.openxmlformats.org/officeDocument/2006/custom-properties" xmlns:vt="http://schemas.openxmlformats.org/officeDocument/2006/docPropsVTypes"/>
</file>