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JSJ-HB20251201SNXYS4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随后前往神农顶赏雪【神农顶风景区】（不含必销景区换乘车60元/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宜昌-洞庭湖-汴河街-岳阳东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神农架全程入住网评三钻舒适型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3.餐饮标准：团队用餐：全程含3早餐3正餐（其中2常规团餐25/人/餐+1餐特色餐30/人/餐：土家吊锅宴）十人一桌9菜一汤，若人数增减，菜量也相应增减，早餐酒店含，正餐不用不退费。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6、未含神农顶换乘车60元/人，报名时收取或当地现付导游。
                <w:br/>
                7、自愿自理：
                <w:br/>
                中和国际滑雪场双板150元/人（滑雪大小同价，含雪板、雪鞋、雪仗）单板需补50元/人差价；
                <w:br/>
                娱雪区门票28元/人（不参加滑雪进入娱雪区需购买）
                <w:br/>
                三峡夜游180元/人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未含神农顶景区换乘车60元/人，报名时收取。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2025-12-14T05:48:01+08:00</dcterms:created>
  <dcterms:modified xsi:type="dcterms:W3CDTF">2025-12-14T05:48:01+08:00</dcterms:modified>
</cp:coreProperties>
</file>

<file path=docProps/custom.xml><?xml version="1.0" encoding="utf-8"?>
<Properties xmlns="http://schemas.openxmlformats.org/officeDocument/2006/custom-properties" xmlns:vt="http://schemas.openxmlformats.org/officeDocument/2006/docPropsVTypes"/>
</file>