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4晚国际四星酒店 |  卢浮宫 | 沙漠冲沙 | （CAN-CZ）行程单</w:t>
      </w:r>
    </w:p>
    <w:p>
      <w:pPr>
        <w:jc w:val="center"/>
        <w:spacing w:after="100"/>
      </w:pPr>
      <w:r>
        <w:rPr>
          <w:rFonts w:ascii="宋体" w:hAnsi="宋体" w:eastAsia="宋体" w:cs="宋体"/>
          <w:sz w:val="20"/>
          <w:szCs w:val="20"/>
        </w:rPr>
        <w:t xml:space="preserve">UCZ0  4晚国际四星酒店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AA20260117UCZ0UW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7.以上报价未提及的项目
                <w:br/>
                8.特别要求之单间房差：人民币2000人/全程；11岁以下小童不占床减500人民币，占床与成人同价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2026-02-16T08:30:47+08:00</dcterms:created>
  <dcterms:modified xsi:type="dcterms:W3CDTF">2026-02-16T08:30:47+08:00</dcterms:modified>
</cp:coreProperties>
</file>

<file path=docProps/custom.xml><?xml version="1.0" encoding="utf-8"?>
<Properties xmlns="http://schemas.openxmlformats.org/officeDocument/2006/custom-properties" xmlns:vt="http://schemas.openxmlformats.org/officeDocument/2006/docPropsVTypes"/>
</file>