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0015-0510
                <w:br/>
                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 EK 航班广州直飞！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贵宾于广州白云国际机场集合，搭乘全球最佳航空公司-阿联酋航空超豪华客机广州直飞迪拜。到达后入境（无须入境卡，过关时间约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0015-0510）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迪拜-广州（参考航班：EK362 DXBCAN  1050-2145，飞行时间约7小时 （时差：迪拜比北京时间晚4个小时））
                <w:br/>
                酒店早餐或打包早餐后退房，前往机场乘坐阿联酋航空公司豪华客机飞回广州，返回温馨的家，结束愉快旅程！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2025-06-26T18:58:18+08:00</dcterms:created>
  <dcterms:modified xsi:type="dcterms:W3CDTF">2025-06-26T18:58:18+08:00</dcterms:modified>
</cp:coreProperties>
</file>

<file path=docProps/custom.xml><?xml version="1.0" encoding="utf-8"?>
<Properties xmlns="http://schemas.openxmlformats.org/officeDocument/2006/custom-properties" xmlns:vt="http://schemas.openxmlformats.org/officeDocument/2006/docPropsVTypes"/>
</file>