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🗓团期：0114/0311/0124年廿五/0126年廿七/0128年甘九/#0318（郁金香赏花）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阿姆斯特丹Amsterdam – 风车村Zaandam –  国家博物馆（Rijksmuseum）– 阿姆斯特丹
                <w:br/>
                桑斯安斯风车村（步行游览）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
                <w:br/>
                原荷兰国家博物馆是座落于海牙、在1800年开幕，1808年时迁至阿姆斯特丹，于1885年搬到现址。这博物馆堪称荷兰最重要的博物馆，收藏非常多荷兰黄金时代的绘画，镇馆之宝有林布兰的《夜巡》、《Jeremiah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2.住宿：全程双人酒店住宿；以两人一房为标准；如遇到会展酒店将会安排郊外或周边城市；温馨提醒：◇德荷地区部分饭店房型为德式双人房(两张床会放置于同一床框/床架，无法分开)。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2025-07-26T08:32:02+08:00</dcterms:created>
  <dcterms:modified xsi:type="dcterms:W3CDTF">2025-07-26T08:32:02+08:00</dcterms:modified>
</cp:coreProperties>
</file>

<file path=docProps/custom.xml><?xml version="1.0" encoding="utf-8"?>
<Properties xmlns="http://schemas.openxmlformats.org/officeDocument/2006/custom-properties" xmlns:vt="http://schemas.openxmlformats.org/officeDocument/2006/docPropsVTypes"/>
</file>