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春季【晚对晚&amp;朕都有】北京双飞5天｜京城第一秀｜玉渊潭赏樱｜恭王府｜圆明园套票｜天坛套票｜升旗仪式｜0购物0自费行程单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★价值280元·红剧场杂技表演：欣赏北京享誉盛名的杂技【幻化炫舞百戏宫】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★圆明园（含遗址公园）：感受历史沧桑，领略皇家园林别样魅力；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★乐享滋味·餐餐特色：全聚德烤鸭600元/桌、景泰蓝火锅40元/人、京味自助餐、五彩饺子宴、宫廷八喜宴等等
                <w:br/>
                ★两种标准酒店，任君选择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颐和园-圆明园套票-玉渊潭公园赏樱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金时期便是京西风景胜地。玉渊潭以樱花闻名，自1973年引种日本大山樱起，至今已成为华北地区规模最
                <w:br/>
                大的樱花专类园之一。数千株早樱、晚樱次第绽放，如云似霞倒映碧波，风过时落英拂水，素有“樱洲云水”之誉，是京城春日不可错过的浪漫盛景。（花期与天气等因素有关，请以实际天气为准。）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7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2026-03-07T17:06:40+08:00</dcterms:created>
  <dcterms:modified xsi:type="dcterms:W3CDTF">2026-03-07T17:06:40+08:00</dcterms:modified>
</cp:coreProperties>
</file>

<file path=docProps/custom.xml><?xml version="1.0" encoding="utf-8"?>
<Properties xmlns="http://schemas.openxmlformats.org/officeDocument/2006/custom-properties" xmlns:vt="http://schemas.openxmlformats.org/officeDocument/2006/docPropsVTypes"/>
</file>