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 1 小时游船（由于是赠送项目，如因航班等不可抗力因素导致无法乘坐游船，费用不退）；
                <w:br/>
                8. 乌鲁班巴升级入住 17 世纪印加庄园超豪华酒店，利马升级 1 晚国际连锁品牌超豪华酒店；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USD311/人，请现付我司领队；
                <w:br/>
                7. 额外游览用车超时费（导游和司机每天正常工作时间不超过 10 小时，如超时需加收超时费）；
                <w:br/>
                8. 行程中所列游览活动之外项目所需的费用；
                <w:br/>
                9. 单间差 CNY9100.00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2026-04-21T16:30:44+08:00</dcterms:created>
  <dcterms:modified xsi:type="dcterms:W3CDTF">2026-04-21T16:30:44+08:00</dcterms:modified>
</cp:coreProperties>
</file>

<file path=docProps/custom.xml><?xml version="1.0" encoding="utf-8"?>
<Properties xmlns="http://schemas.openxmlformats.org/officeDocument/2006/custom-properties" xmlns:vt="http://schemas.openxmlformats.org/officeDocument/2006/docPropsVTypes"/>
</file>