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深度旅程】首都-开罗、世界最大露天博物馆-卢克索、世界鼎级潜水圣地-红海、增游地中海新娘-亚历山大
                <w:br/>
                【豪叹美食】开罗TOP10餐厅之一：爱资哈尔国家公园STUDIO`MISR高端奢华正宗阿拉伯奢华烤肉宴
                <w:br/>
                金字塔网红景观餐、尼罗河边餐、地中海烤鱼午餐、鸽子餐、中式团餐升级10菜1汤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