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
                <w:br/>
                每天每人2瓶矿泉水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行程内所含旅游用车：：4+0 商务车（7座），6+0，10+1 奔驰凌特（17-19座）15+1、19+1，25+1和29+1 奔驰403及其他欧洲品牌大巴车（40-59座）；具体车型根据团队实际人数可能有所调整，以实际安排为准！
                <w:br/>
                4.	行程内所含景点首到大门票。
                <w:br/>
                5.	行程中所列餐食，午晚餐为特色餐（以行程为准）。如果不用餐或因个人原因超出用餐时间到达餐厅的，不再另补且费用不退。（用餐时间在机场候机或飞机上的餐食由客人自理）
                <w:br/>
                6.	导游：中文导游（当地人）或司机兼导游（当地人）；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2025-08-05T18:14:27+08:00</dcterms:created>
  <dcterms:modified xsi:type="dcterms:W3CDTF">2025-08-05T18:14:27+08:00</dcterms:modified>
</cp:coreProperties>
</file>

<file path=docProps/custom.xml><?xml version="1.0" encoding="utf-8"?>
<Properties xmlns="http://schemas.openxmlformats.org/officeDocument/2006/custom-properties" xmlns:vt="http://schemas.openxmlformats.org/officeDocument/2006/docPropsVTypes"/>
</file>