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1.领队以及境外司机导游小费：RMB2000/人（大小同价，请随团费一起支付）；
                <w:br/>
                2.如需全国联运，另加1000元/人（南航承运航班，N舱，联运为航司优惠政策，请以航司批复为准）。
                <w:br/>
                3.全程单房差RMB2000（夜卧火车除外）；
                <w:br/>
                4.护照费用（护照的有效期至少为回程日期 +6个月以上，单国两页以上空白签证页，两国四页以上空白签证页，特别线路可能要求的有效期更长）
                <w:br/>
                5.行程表以外行程费用；
                <w:br/>
                6.行李物品的搬运费、保管费及超重费；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10.客人往返出境口岸的一切费用。
                <w:br/>
                11.报价包含未提及的任何费用。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2026-03-19T08:42:29+08:00</dcterms:created>
  <dcterms:modified xsi:type="dcterms:W3CDTF">2026-03-19T08:42:29+08:00</dcterms:modified>
</cp:coreProperties>
</file>

<file path=docProps/custom.xml><?xml version="1.0" encoding="utf-8"?>
<Properties xmlns="http://schemas.openxmlformats.org/officeDocument/2006/custom-properties" xmlns:vt="http://schemas.openxmlformats.org/officeDocument/2006/docPropsVTypes"/>
</file>