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【伊势·镰仓】日本本州阪东6日|大阪城公园|奈良神鹿公园|富士山五合目|镰仓高校前|清水寺|日式五星酒店（香港往返）行程单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大阪进东京出不走回头路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景点：A线：综合免税店，浅草寺，银座，台场，秋叶原，车观皇居二重桥 B线：综合免税店，而后自由活动(自由活动时间无车无餐无导)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【东京成田机场-香港国际机场】送机
                <w:br/>
                【东京成田机场-香港国际机场】送机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2025-05-29T05:35:58+08:00</dcterms:created>
  <dcterms:modified xsi:type="dcterms:W3CDTF">2025-05-29T05:35:58+08:00</dcterms:modified>
</cp:coreProperties>
</file>

<file path=docProps/custom.xml><?xml version="1.0" encoding="utf-8"?>
<Properties xmlns="http://schemas.openxmlformats.org/officeDocument/2006/custom-properties" xmlns:vt="http://schemas.openxmlformats.org/officeDocument/2006/docPropsVTypes"/>
</file>