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4、乘船前往加隆湖中央的加伦城堡，狄俄尼索斯古遗址，埃及富人诺大城堡
                <w:br/>
                5、进入突尼斯村庄，瑞士艺术家波雷为这个小村庄带来了制陶技艺
                <w:br/>
                6、探索古罗马历史教科书上的“法尤姆肖像”--哈瓦拉的金字塔
                <w:br/>
                7、探索瓦迪埃尔拉扬自然保护区：瓦迪扬瀑布
                <w:br/>
                8、在加伦湖边享用烤鱼，近距离感受原居民生活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2025-12-14T07:23:00+08:00</dcterms:created>
  <dcterms:modified xsi:type="dcterms:W3CDTF">2025-12-14T07:23:00+08:00</dcterms:modified>
</cp:coreProperties>
</file>

<file path=docProps/custom.xml><?xml version="1.0" encoding="utf-8"?>
<Properties xmlns="http://schemas.openxmlformats.org/officeDocument/2006/custom-properties" xmlns:vt="http://schemas.openxmlformats.org/officeDocument/2006/docPropsVTypes"/>
</file>