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伊犁环线】新疆吐鲁番双飞8天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呼图壁&gt;&gt;&gt;新疆博物馆&gt;&gt;&gt;昌吉（约100公里，车程约1.5小时）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维吾尔自治区博物馆】（免门票需预约，逢周一闭馆，如遇闭馆或预约已满，则更改为新疆国际大巴扎，游览约1.5小时）博物馆通过“文物+演绎+文创”的融合创新，让观众领略新疆历史文化之美。穿越千年西域，了解新疆发展
                <w:br/>
                【温馨提示】
                <w:br/>
                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吐鲁番&gt;&gt;&gt;吐峪沟&amp;旅拍&gt;&gt;&gt;火焰山观景平台&gt;&gt;&gt;沙疗&gt;&gt;&gt;吐鲁番（约240公里，车程约3小时）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通过沙子覆盖产生的热、压力、磁力等因素，从而起到康复治疗效果，可辅助治疗类风湿关节炎、腰椎间盘疼痛、慢性腰腿痛等问题。这种自然疗法，源自维吾尔族的传统智慧，已成为国际上备受关注的健康养生方式了。
                <w:br/>
                【温馨提示】
                <w:br/>
                1；吐鲁番紫外线强，请自备防晒霜、遮阳伞等防晒用具。气温较高，请及时补充水份，以免中暑；
                <w:br/>
                2；当天路程稍长，建议自带零食、水果和热水。昼夜温差大，一般早晚温差在10-15度左右，注意增减衣物，防止感冒。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吐鲁番&gt;&gt;&gt;坎儿井&gt;&gt;&gt;葡萄庄园家访&gt;&gt;&gt;飞机&gt;&gt;&gt;广州
                <w:br/>
                今日行程：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根据航班乘车前往机场，搭乘飞机返程，结束愉快行程。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2025-06-12T03:40:04+08:00</dcterms:created>
  <dcterms:modified xsi:type="dcterms:W3CDTF">2025-06-12T03:40:04+08:00</dcterms:modified>
</cp:coreProperties>
</file>

<file path=docProps/custom.xml><?xml version="1.0" encoding="utf-8"?>
<Properties xmlns="http://schemas.openxmlformats.org/officeDocument/2006/custom-properties" xmlns:vt="http://schemas.openxmlformats.org/officeDocument/2006/docPropsVTypes"/>
</file>