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超值·仙本那5天4晚半自助游-广州AK行程单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SPY-SA1745234246MX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AK1535  0025-0335     亚庇-斗湖：参考航班 AK6260 0905-0955
                <w:br/>
                广州-亚庇   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广州机场办理登机，飞亚庇机场后转机前往飞斗湖-乘车前往仙本那镇上办理入住
                <w:br/>
                日期为航班出发日期，请于航班日期前一天前往广州机场办理登机手续，飞亚庇机场后转飞斗湖。抵达斗湖机场后（乘约70分钟车）前往仙本那镇上，后入住酒店，为明天的美好离岛游做好准备.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马步岛+卡帕莱浮潜一日游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到达城市：仙本那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到达城市：仙本那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酒店早餐后，约定时间前往斗湖机场，飞亚庇后接入住酒店，后自由活动。可自行第一沙滩看落日，或逛加雅街寻美食；或打卡长鼻猴萤火虫之旅。
                <w:br/>
                早餐后自由活动，约定时间集合，前往斗湖机场，乘机前往亚庇，接机后入住酒店，自由活动。
                <w:br/>
                斗湖-亚庇，参考航班：AK6261 1010-1100或AK6267 1325-1415
                <w:br/>
                可自费自由选择参考以下行程：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交通：飞机+车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指定时间集合前往亚庇机场，乘机飞往广州，于广州机场散团。
                <w:br/>
                早餐后，可自由活动，体验酒店活动设施，逛街体验当地风情。或体验其它好玩项目。
                <w:br/>
                可自费自由选择参考以下行程：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16:00：结束文化村行程，驱车返回约定地点。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马布岛上岛费,50马币/人，汀巴汀巴岛上岛费10马币/人，马达京岛上岛费15马币/人，邦邦岛20马币/人，现付。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2025-05-23T21:39:07+08:00</dcterms:created>
  <dcterms:modified xsi:type="dcterms:W3CDTF">2025-05-23T21:39:07+08:00</dcterms:modified>
</cp:coreProperties>
</file>

<file path=docProps/custom.xml><?xml version="1.0" encoding="utf-8"?>
<Properties xmlns="http://schemas.openxmlformats.org/officeDocument/2006/custom-properties" xmlns:vt="http://schemas.openxmlformats.org/officeDocument/2006/docPropsVTypes"/>
</file>