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自组【惠游江南】华东双飞6天 | 枕河人家乌镇东栅 | 一路繁花外滩万国建筑群 | 金陵帝王州中山陵 | 惬意杭城西湖 | 四大园林苏州沧浪亭 | 追溯红色上海一大会址 | 升级一晚豪华酒店行程单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【自助早餐】每日享用酒店自助早餐，尽享清晨悠闲而美味的时光，收获仪式感满满的品质生活；
                <w:br/>
                【龙井茶香宴】龙井茶的清香与美食巧妙结合，搭配精致的菜肴，创造出独特的味觉享受！
                <w:br/>
                <w:br/>
                √温馨服务
                <w:br/>
                【中旅自组】安心无忧行，优秀导游+安全用车+安享用餐，每人每天送一支矿泉水，尽享旅行好时光！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广州—上海（参考航班时间段：0700-2300）
                <w:br/>
                集合：请于广州机场集合，我们的工作人员为您办理好乘机手续、行李托运、以及登机口指引等事宜，后乘机前往上海，抵达后专职导游接团，开启江南之旅。
                <w:br/>
                注意：华东港口众多（参考港口：上海/杭州/无锡/南京/扬州/合肥/南通/义乌/芜湖/常州等），我社有权根据航班港口时间调整行程顺序，变更入住城市顺序，但不减少景点与游览时间，敬请谅解。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上海—广州（航班时间段：0700-2300）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2.住宿：四晚入住当地高级酒店，一晚升级当地豪华酒店，成人每晚一个床位，因酒店均不设三人间，出现单男单女报名时请补或退房差；
                <w:br/>
                3.用餐：行程中含5早5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8.购物：全程进2个购物店（丝绸+珍珠）（行程过程中景区、餐厅、酒店、服务区自带的商店不算购物店）。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16人自组成团，如报名人数不足16成人时无法成团，或遇特殊情况（如：团队特惠机位取消或游客临时退团造成不成团等）致使团队无法按期出行，我社提前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2025-05-18T22:49:43+08:00</dcterms:created>
  <dcterms:modified xsi:type="dcterms:W3CDTF">2025-05-18T22:49:43+08:00</dcterms:modified>
</cp:coreProperties>
</file>

<file path=docProps/custom.xml><?xml version="1.0" encoding="utf-8"?>
<Properties xmlns="http://schemas.openxmlformats.org/officeDocument/2006/custom-properties" xmlns:vt="http://schemas.openxmlformats.org/officeDocument/2006/docPropsVTypes"/>
</file>