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【劲爆深坑】华东双飞6天丨上海深坑酒店丨乌镇东栅丨深坑崖壁光影秀丨金陵帝王州中山陵丨苏州沧浪亭丨富甲一方·南浔古镇行程单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YJ-20250514-S12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江南风韵
                <w:br/>
                【不难寻的南浔】水岸人家尽枕河，运河古镇富甲天下，罕见的中西合璧式古镇游遍江南九十九，不如南浔走一走！
                <w:br/>
                【江南水乡乌镇东栅】江南水韵，老街、青石板路、水上老屋，千年积淀的文化古韵，江南水乡的颜值担当！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【攀登历史石阶中山陵】来南京必去中山陵，感叹中国史上最伟大的建筑之一，从下往上看步步高升，从上往下看平步青云！
                <w:br/>
                <w:br/>
                ※ 绚烂夜秀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入住：欢乐颂酒店/维也纳酒店/宜必思酒店或同等级酒店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2.住宿：全程三钻酒店，升级两晚四钻酒店，一晚上海深坑洲际酒店，若单人入住或出现单男单女，请自补单房差，行程参考酒店无法接待的情况下，我社将选择其他酒店，但标准不低于上述酒店！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2025-05-21T18:39:13+08:00</dcterms:created>
  <dcterms:modified xsi:type="dcterms:W3CDTF">2025-05-21T18:39:13+08:00</dcterms:modified>
</cp:coreProperties>
</file>

<file path=docProps/custom.xml><?xml version="1.0" encoding="utf-8"?>
<Properties xmlns="http://schemas.openxmlformats.org/officeDocument/2006/custom-properties" xmlns:vt="http://schemas.openxmlformats.org/officeDocument/2006/docPropsVTypes"/>
</file>