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纯玩美国东西海岸17天丨经典9城+5大国家公园（黄石+大提顿+布莱斯峡谷+锡安+大峡谷）+尼亚加拉大瀑布+羚羊彩穴+马蹄湾+大盐湖+羚羊岛+“1+66”号双公路+丹麦村+圣塔芭芭拉+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USEWY9U1CG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贴心全餐丨舒适畅游，全程含餐（部分转候机、自由活动与自然保护区内不方便团队集体用餐除外）
                <w:br/>
                【经典9城纵览】
                <w:br/>
                都市人文丨旧金山丨纽约丨费城丨华盛顿丨布法罗丨洛杉矶丨拉斯丨盐湖城丨圣地亚哥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【“双”公路时代巡礼】【“双”学府名校巡礼】宾夕法尼亚大学丨UCLA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加州小镇-1号公路（17英里）-旧金山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参考航班：CX873 SFOHKG 0020 0620+1
                <w:br/>
                参考航班：CX893 SFOHKG 0035 0655+1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