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08:00-13:20   或   CZ3085  1440/1945
                <w:br/>
                <w:br/>
                第六天    回程: 大阪-广州     CZ394     08:40-11:55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出发当天，请贵宾于指定时间在国际机场指定位置集中，乘坐国际航班直航飞往日本，导游接机后前
                <w:br/>
                <w:br/>
                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关东地区酒店
                <w:br/>
                <w:br/>
                参考酒店：成田亚洲酒店   成田机场酒店   东京海湾广场酒店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早餐后，前往游览〔浅草雷门观音寺〕~〔秋叶原〕~〔银座〕，游毕入住酒店休息。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 八海〕~〔地震体验馆〕，游毕入住酒店休息。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  东横 inn 中部机场店 1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早早餐后，前往游览〔珍珠文化馆〕~〔清水寺〕~〔二三年坂〕~〔抹茶体验〕~〔奈良公园〕， 游毕入住酒店休息。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购物点：珍珠文化馆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大阪湾广场酒店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早餐后，前往游览〔综合免税店〕~〔大阪城公园（不登城）〕~〔心斋桥·道顿堀〕~〔难波 八坂神社〕，游毕入住酒店休息。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
                <w:br/>
                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2025-06-07T01:36:55+08:00</dcterms:created>
  <dcterms:modified xsi:type="dcterms:W3CDTF">2025-06-07T01:36:55+08:00</dcterms:modified>
</cp:coreProperties>
</file>

<file path=docProps/custom.xml><?xml version="1.0" encoding="utf-8"?>
<Properties xmlns="http://schemas.openxmlformats.org/officeDocument/2006/custom-properties" xmlns:vt="http://schemas.openxmlformats.org/officeDocument/2006/docPropsVTypes"/>
</file>