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4.当地导游服务费RMB300/人
                <w:br/>
                5.门票：行程内所列景点第一大门票
                <w:br/>
                6.餐食：4个酒店内早餐，4个正餐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酒店旅游税10马币/间/晚，前台现付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
                <w:br/>
                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马里马里文化村半日游</w:t>
            </w:r>
          </w:p>
        </w:tc>
        <w:tc>
          <w:tcPr/>
          <w:p>
            <w:pPr>
              <w:pStyle w:val="indent"/>
            </w:pPr>
            <w:r>
              <w:rPr>
                <w:rFonts w:ascii="宋体" w:hAnsi="宋体" w:eastAsia="宋体" w:cs="宋体"/>
                <w:color w:val="000000"/>
                <w:sz w:val="20"/>
                <w:szCs w:val="20"/>
              </w:rPr>
              <w:t xml:space="preserve">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2026-04-19T16:14:19+08:00</dcterms:created>
  <dcterms:modified xsi:type="dcterms:W3CDTF">2026-04-19T16:14:19+08:00</dcterms:modified>
</cp:coreProperties>
</file>

<file path=docProps/custom.xml><?xml version="1.0" encoding="utf-8"?>
<Properties xmlns="http://schemas.openxmlformats.org/officeDocument/2006/custom-properties" xmlns:vt="http://schemas.openxmlformats.org/officeDocument/2006/docPropsVTypes"/>
</file>