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【东西岸-CA北京起止-可配联运】【风光揽胜】美国东西海岸16天 经典8城纵览+“4+1”国家公园胜景环游+尼亚加拉大瀑布奇景大观行程单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
                <w:br/>
                都市人文丨纽约/费城/华盛顿/布法罗/洛杉矶/拉斯维加斯/盐湖城/圣地亚哥（可选）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BARSTOW奥特莱斯丨“血拼”沙漠中的奥特莱斯,让您的旅行绝不空手而归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京洛杉矶
                <w:br/>
                参考航班：CA983 PEKLAX 2155 2010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
                <w:br/>
                <w:br/>
                在比弗利山标志留影后前往在比弗利山标志留影后前往【圣塔莫妮卡海滩】（不低于120分钟）。这里既是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晚餐：TACO BELL牛肉塔可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DAY14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顿北京
                <w:br/>
                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2026-07-22T07:52:59+08:00</dcterms:created>
  <dcterms:modified xsi:type="dcterms:W3CDTF">2026-07-22T07:52:59+08:00</dcterms:modified>
</cp:coreProperties>
</file>

<file path=docProps/custom.xml><?xml version="1.0" encoding="utf-8"?>
<Properties xmlns="http://schemas.openxmlformats.org/officeDocument/2006/custom-properties" xmlns:vt="http://schemas.openxmlformats.org/officeDocument/2006/docPropsVTypes"/>
</file>