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金秋【赏秋东三省】东北双飞7天∣五花长白山∣盘锦红海滩∣桓仁枫林谷∣中朝边境丹东∣鸭绿江断桥∣G331公路起点∣小韩国延吉∣沈阳故宫∣泡长白温泉∣朝鲜民俗村∣哈尔滨∣不走回头路行程单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南航·哈沈7天 逢周一/二/三/五/六/日出发
                <w:br/>
                广州—哈尔滨CZ3905//19:35-23:50，
                <w:br/>
                沈阳—广州CZ6331/19:30-23:45；往返直飞  
                <w:br/>
                <w:br/>
                广州出发 南航·沈哈7天 逢周一/日出发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★优质航班：广州出发，南航直飞！沈进哈出或哈进沈出，不走回头路；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哈尔滨（行车约3.5小时）横道河子（行车约2.5小时）敦化
                <w:br/>
                早餐后，哈尔滨City Walk，后车赴“货车拉来的小俄罗斯”——横道河子；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敦化（行车约2小时）延吉（行车约2.5小时）二道白河镇
                <w:br/>
                早餐后，开启边境之旅，前往朝鲜族自治州延吉--堪称中国的小韩国，满大街的朝鲜语标识，满满异国风情。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2025-07-27T14:41:36+08:00</dcterms:created>
  <dcterms:modified xsi:type="dcterms:W3CDTF">2025-07-27T14:41:36+08:00</dcterms:modified>
</cp:coreProperties>
</file>

<file path=docProps/custom.xml><?xml version="1.0" encoding="utf-8"?>
<Properties xmlns="http://schemas.openxmlformats.org/officeDocument/2006/custom-properties" xmlns:vt="http://schemas.openxmlformats.org/officeDocument/2006/docPropsVTypes"/>
</file>