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【国庆】树顶回归肯尼亚 10天7晚 | 安博塞利国家公园 | 长颈鹿公园 | 马赛马拉国家野生动物保护区 | 马拉河区域 | 埃尔门泰塔湖 | 纳瓦沙湖 | 私人保护区岛屿星月岛徒步| 爱尔莎庄园 | 阿布戴尔树顶酒店下午茶（广州CZ）行程单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AA1708852624WZ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
                <w:br/>
                回程：内罗毕-广州（参考航班：CZ6044 16：30起飞- 11:20+1）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阿布戴尔-内罗毕（车约4小时）广州（参考航班：CZ6044 16：30起飞- 11:20+1抵达，经停长沙总飞行14小时）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2025-07-27T07:27:02+08:00</dcterms:created>
  <dcterms:modified xsi:type="dcterms:W3CDTF">2025-07-27T07:27:02+08:00</dcterms:modified>
</cp:coreProperties>
</file>

<file path=docProps/custom.xml><?xml version="1.0" encoding="utf-8"?>
<Properties xmlns="http://schemas.openxmlformats.org/officeDocument/2006/custom-properties" xmlns:vt="http://schemas.openxmlformats.org/officeDocument/2006/docPropsVTypes"/>
</file>