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金秋【不带银两游北京-皇牌产品希游季】北京双飞5天｜北京世园公园｜玩转黑白八达岭长城｜杜莎夫人蜡像馆｜故宫博物院｜四合院-恭王府｜红剧场杂技｜升旗仪式｜升级1晚北京八达岭希尔顿逸林酒店行程单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