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(澳门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珠海市-中国澳门特别行政区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澳门--大阪关西机场
                <w:br/>
                澳门往返：在珠海关口集中前往澳门国际机场乘坐飞机飞往大阪关西机场，抵达后开始快乐旅程。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浅草雷门观音寺--秋叶原动漫街--综合免税店--银座--台场海滨公园-高达、自由女神像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 --澳门
                <w:br/>
                享用完早餐后前往机场，搭乘航班返回澳门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2025-08-14T18:39:44+08:00</dcterms:created>
  <dcterms:modified xsi:type="dcterms:W3CDTF">2025-08-14T18:39:44+08:00</dcterms:modified>
</cp:coreProperties>
</file>

<file path=docProps/custom.xml><?xml version="1.0" encoding="utf-8"?>
<Properties xmlns="http://schemas.openxmlformats.org/officeDocument/2006/custom-properties" xmlns:vt="http://schemas.openxmlformats.org/officeDocument/2006/docPropsVTypes"/>
</file>