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【秋映阿勒泰2.0】新疆双飞单动8天 -天山天池|喀纳斯|禾木|五彩滩|世界魔鬼城|白桦林公园|乌尔禾胡杨林|赛里木湖行程单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广州机场乘飞机赴【乌鲁木齐】机场迎接各位贵宾，欢迎来到大美新疆！ 抵达后前往乌鲁木齐酒店入住休息。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交通：汽车/动车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1-2城际：博乐-乌鲁木齐，二等座
                <w:br/>
                2、住宿：升级1晚网评5钻酒店+4晚网评4钻酒店+2晚舒适网评3钻舒适酒店，单人需要补房差。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2025-09-22T16:41:46+08:00</dcterms:created>
  <dcterms:modified xsi:type="dcterms:W3CDTF">2025-09-22T16:41:46+08:00</dcterms:modified>
</cp:coreProperties>
</file>

<file path=docProps/custom.xml><?xml version="1.0" encoding="utf-8"?>
<Properties xmlns="http://schemas.openxmlformats.org/officeDocument/2006/custom-properties" xmlns:vt="http://schemas.openxmlformats.org/officeDocument/2006/docPropsVTypes"/>
</file>