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OCCZ09SNST1#2532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参考航班：CZ382/10:10-17:30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悉尼经典一日游-/-墨尔本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墨尔本经典一日游-/-黄金海岸	航班：待定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【特别提示：现阶段属当地旺季，酒店可能会根据具体预订情况调整，且行程可能会因此临时调整顺序，感谢您的理解与配合。谢谢！】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早餐：酒店早餐     午餐：BBQ烧烤派对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 - 布里斯本
                <w:br/>
                早餐后开始今日精彩之旅：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航班：CZ382/10:10-17:30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2025-09-10T07:48:12+08:00</dcterms:created>
  <dcterms:modified xsi:type="dcterms:W3CDTF">2025-09-10T07:48:12+08:00</dcterms:modified>
</cp:coreProperties>
</file>

<file path=docProps/custom.xml><?xml version="1.0" encoding="utf-8"?>
<Properties xmlns="http://schemas.openxmlformats.org/officeDocument/2006/custom-properties" xmlns:vt="http://schemas.openxmlformats.org/officeDocument/2006/docPropsVTypes"/>
</file>