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【日本·奢享东瀛】日本本州阪东6天|达摩胜尾寺|秋叶原|伏见稻荷大社|心斋桥|汤乐城温泉主题公园|日式五星酒店（深圳往返）行程单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