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【中旅1号】马达加斯加|留尼汪|毛里求斯|塞舌尔15天休闲之旅行程单</w:t>
      </w:r>
    </w:p>
    <w:p>
      <w:pPr>
        <w:jc w:val="center"/>
        <w:spacing w:after="100"/>
      </w:pPr>
      <w:r>
        <w:rPr>
          <w:rFonts w:ascii="宋体" w:hAnsi="宋体" w:eastAsia="宋体" w:cs="宋体"/>
          <w:sz w:val="20"/>
          <w:szCs w:val="20"/>
        </w:rPr>
        <w:t xml:space="preserve">印度洋上不可错过的高端野奢体验——非洲香草四国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AA1755670599ZDF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广州-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抵达广州国际机场，结束难忘且愉快的香草四国15天之旅！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1.全程单房差7500元/人；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2026-04-05T15:20:10+08:00</dcterms:created>
  <dcterms:modified xsi:type="dcterms:W3CDTF">2026-04-05T15:20:10+08:00</dcterms:modified>
</cp:coreProperties>
</file>

<file path=docProps/custom.xml><?xml version="1.0" encoding="utf-8"?>
<Properties xmlns="http://schemas.openxmlformats.org/officeDocument/2006/custom-properties" xmlns:vt="http://schemas.openxmlformats.org/officeDocument/2006/docPropsVTypes"/>
</file>