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【全景精华】美国东西岸14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&gt;2大必游奇景
                <w:br/>
                尼亚加拉大瀑布、好莱坞御用大片拍摄地纪念碑谷
                <w:br/>
                4大世界奇景
                <w:br/>
                拱门国家公园、峡谷地国家公园、锡安国家公园、布莱斯峡谷国家公园
                <w:br/>
                7大美国名城遍览
                <w:br/>
                美国东西岸名城无一遗漏
                <w:br/>
                名品奥莱旅游局VIP折扣券
                <w:br/>
                “黑五”享世界名牌包包折上折
                <w:br/>
                好莱坞电影独特体验
                <w:br/>
                乘坐世界最短铁路:天使铁路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30APR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晚餐：布法罗特色鸡翅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交通：参考航班：CX883 10MAY LAXHKG 2330 0545+2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行程所列景点第一门票（注：乘船游览自由女神，不上岛；纪念碑谷，拱门国家公园、峡谷地国家公园、布莱斯峡谷国家公园、锡安国家公园）
                <w:br/>
                6	专业领队服务（含司导服务费）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2026-06-10T14:47:19+08:00</dcterms:created>
  <dcterms:modified xsi:type="dcterms:W3CDTF">2026-06-10T14:47:19+08:00</dcterms:modified>
</cp:coreProperties>
</file>

<file path=docProps/custom.xml><?xml version="1.0" encoding="utf-8"?>
<Properties xmlns="http://schemas.openxmlformats.org/officeDocument/2006/custom-properties" xmlns:vt="http://schemas.openxmlformats.org/officeDocument/2006/docPropsVTypes"/>
</file>