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【旅展特惠】【日本·畅游本州】日本本州阪东6日|秋叶原|心斋桥|忍野八海|箱根大涌谷|春日大社|日式五星酒店（香港往返）行程单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H-LZCYBZB6BD-SJTJP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优选【两关一检】通关巴士
                <w:br/>
                口岸直达香港机场候机楼内
                <w:br/>
                箱根大涌谷·解锁火山奇观
                <w:br/>
                箱根神社·打卡灵山圣境
                <w:br/>
                全程日式4-5星酒店+1晚日式温泉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2025-09-08T02:53:45+08:00</dcterms:created>
  <dcterms:modified xsi:type="dcterms:W3CDTF">2025-09-08T02:53:45+08:00</dcterms:modified>
</cp:coreProperties>
</file>

<file path=docProps/custom.xml><?xml version="1.0" encoding="utf-8"?>
<Properties xmlns="http://schemas.openxmlformats.org/officeDocument/2006/custom-properties" xmlns:vt="http://schemas.openxmlformats.org/officeDocument/2006/docPropsVTypes"/>
</file>