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【不带Money 游北京-早对晚】双飞5天｜抗战80周年主题活动｜有轨电车·香山寻秋｜万园之园-圆明园｜天坛套票｜故宫博物院｜半部清史里-恭王府｜八达岭长城行程单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广州-北京（飞机）--恭王府+什刹海游胡同、烟袋斜街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天安门广场-故宫博物馆--天坛套票（金毯铺道，银杏大道）
                <w:br/>
                【当日亮点】天安门广场、故宫博物馆、天坛套票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升旗-八达岭长城-长城脚下观大戏-外观鸟巢&amp;水立方
                <w:br/>
                【当日亮点】升旗、八达岭长城、长城脚下观大戏、外观鸟水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
                <w:br/>
                【当日亮点】颐和园、圆明园（大门票）、抗战80周年主题活动：卢沟桥+中国人民抗日战争纪念馆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有轨电车·香山寻秋-广州
                <w:br/>
                【当日亮点】有轨电车·香山寻秋
                <w:br/>
                 上午：早餐后，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【温馨贴士】：
                <w:br/>
                红叶最佳观赏时间10 月中旬至 11 月初，（红叶属于自然景观，请保持乐观的心态），红叶较受天气和季节性影响，红叶会因天气情况提前或推后，行程上推荐的提供参考，实际以当地实际情况为准。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2025-09-22T19:20:53+08:00</dcterms:created>
  <dcterms:modified xsi:type="dcterms:W3CDTF">2025-09-22T19:20:53+08:00</dcterms:modified>
</cp:coreProperties>
</file>

<file path=docProps/custom.xml><?xml version="1.0" encoding="utf-8"?>
<Properties xmlns="http://schemas.openxmlformats.org/officeDocument/2006/custom-properties" xmlns:vt="http://schemas.openxmlformats.org/officeDocument/2006/docPropsVTypes"/>
</file>