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搭乘中国南方航空，广州起止，可申请全国联运，飞行无忧（联运费另加）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列基斯坦广场；欣赏美轮美奂的【雷吉斯坦广场灯光秀】；打卡网红【全球最大-亚洲抓饭中心】（享用特色抓饭）；恰伦大峡谷-世界第二大峡谷；北天山明珠：柯尔塞湖
                <w:br/>
                【服务承诺】
                <w:br/>
                纯玩团：全程不进购物店，不推自费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塔什干-撒马尔罕（开车4-5小时）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前往打卡网红【全球最大-亚洲抓饭中心】（享用特色抓饭），抓饭是当地的国宾饭，也是乌兹别克斯坦本地人民招待贵宾的特色饭，不管是女儿出嫁，孩子出生等都会做香喷喷的手抓饭。
                <w:br/>
                下午：前往乘坐塔什干地下博物馆-塔什干地铁（约20分钟）。塔什干地铁站的建设始于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交通：汽车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 ( 车程时间4-5小时)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塔什干-飞机-阿拉木图（参考航班：HY761  0815-0945  塔什干--阿拉木图 ）
                <w:br/>
                上午：酒店打包早餐后，前往机场飞往阿拉木图。
                <w:br/>
                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下午：参观【科克托别山】（登顶，约 40 分钟），乘缆车前往全景台，在这里可俯瞰阿拉木图市全景。山上建有科克托别电视塔，与电视塔相邻的为全景台，是阿拉木图一处知名的景点，也是观赏阿拉木图夜景的不错地点。入住酒店休息。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阿拉木图-恰伦大峡谷-3小时车程-萨德村
                <w:br/>
                上午：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下午：前往北天山三大湖之一【科尔赛湖国家自然公园】（约280 公里，车程 约 4 小时，参观约75 分钟）观北天山明珠奇景，见证蓝绿湖水森林，聆听它的故事，该湖泊 位于哈萨克斯坦阿拉木图的北部Raiymbek区区域与吉尔吉斯斯坦接壤，湖泊和天山云杉针叶 森林所环绕。湖泊的深度为50 米湖水里有野生虹鳟鱼；
                <w:br/>
                返回阿拉木图。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下午：前往阿拉木图最有特色的市场【绿色巴扎市场】，自由采购当地特色商品。
                <w:br/>
                约定时间，前往机场飞回广州，结束愉快的行程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搭乘航班返回广州，返回温馨的家，结束愉快的行程。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服务费+酒店税2000元/人
                <w:br/>
                燃油附加费涨价500元/人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全程单房差2400/人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2026-06-10T14:47:07+08:00</dcterms:created>
  <dcterms:modified xsi:type="dcterms:W3CDTF">2026-06-10T14:47:07+08:00</dcterms:modified>
</cp:coreProperties>
</file>

<file path=docProps/custom.xml><?xml version="1.0" encoding="utf-8"?>
<Properties xmlns="http://schemas.openxmlformats.org/officeDocument/2006/custom-properties" xmlns:vt="http://schemas.openxmlformats.org/officeDocument/2006/docPropsVTypes"/>
</file>