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春节【港澳观光中环深度游三天】香港中环观光+香港自由+澳门跟团观光3天丨西九文化区之艺术公园丨不含回程交通行程单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CJ-QS-HK20231201BAE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br/>
                酒店：香港四钻酒店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全天香港自由活动（交通用餐自理）
                <w:br/>
                全天香港自由活动。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1、本线路为散客拼团，45人成团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2025-12-14T08:52:47+08:00</dcterms:created>
  <dcterms:modified xsi:type="dcterms:W3CDTF">2025-12-14T08:52:47+08:00</dcterms:modified>
</cp:coreProperties>
</file>

<file path=docProps/custom.xml><?xml version="1.0" encoding="utf-8"?>
<Properties xmlns="http://schemas.openxmlformats.org/officeDocument/2006/custom-properties" xmlns:vt="http://schemas.openxmlformats.org/officeDocument/2006/docPropsVTypes"/>
</file>