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【悠游新京典】北京双飞5天丨升旗丨故宫深度游丨纪念堂丨八达岭长城丨首都博物馆丨冰雕艺术馆丨颐和园丨北京滑雪场丨品香茗看京剧，长城脚下观大戏行程单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★【北京滑雪场】冬天总要去北方看雪吧，来滑雪场实现雪地打滚自由，感受北方快乐的冬天！
                <w:br/>
                ★【景山公园】登上景山，俯瞰故宫全景的最佳观景台，随手拍大片发朋友圈独秀！
                <w:br/>
                ★【天安门观看升旗仪式】同唱国歌！与祖国共同迎接新的一天。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＞＞＞北京，天坛公园（套票）--前门大街
                <w:br/>
                各位贵宾请于指定时间在广州白云机场集合，工作人员帮助您办理登机手续，后乘飞机飞往北京（飞行时间约3小时）。北京是我国的政治、文化中心和国际交往的枢纽，也是一座著名的“历史文化名城”。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首都博物馆--什刹海，北京＞＞＞广州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2025-12-16T21:03:58+08:00</dcterms:created>
  <dcterms:modified xsi:type="dcterms:W3CDTF">2025-12-16T21:03:58+08:00</dcterms:modified>
</cp:coreProperties>
</file>

<file path=docProps/custom.xml><?xml version="1.0" encoding="utf-8"?>
<Properties xmlns="http://schemas.openxmlformats.org/officeDocument/2006/custom-properties" xmlns:vt="http://schemas.openxmlformats.org/officeDocument/2006/docPropsVTypes"/>
</file>