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尚游仙本那|6天5晚半自助——广州往返AK行程单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SPY-SA1763974460nB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增送当地一日游：马达京+汀巴汀巴/班丹南+邦邦岛海域浮潜一日游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睡到自然醒，早餐后全天自由活动，可自费自由报名仙本那游玩项目。
                <w:br/>
                1、马布岛+卡帕莱跳岛浮潜一日游之旅。
                <w:br/>
                2、敦沙卡兰海洋公园，跳岛浮潜一日游+珍珠岛爬山游览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护照首页（上一次回程日期起六个月或以上有效期和3页或以上空白页）+联系电话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2026-06-04T05:02:37+08:00</dcterms:created>
  <dcterms:modified xsi:type="dcterms:W3CDTF">2026-06-04T05:02:37+08:00</dcterms:modified>
</cp:coreProperties>
</file>

<file path=docProps/custom.xml><?xml version="1.0" encoding="utf-8"?>
<Properties xmlns="http://schemas.openxmlformats.org/officeDocument/2006/custom-properties" xmlns:vt="http://schemas.openxmlformats.org/officeDocument/2006/docPropsVTypes"/>
</file>