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随后前往新加坡【欢乐岛】。新加坡集娱乐、休闲、美食、购物于一体的综合度假区（自由活动约1小时）。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老城之旅-甘榜格南-马六甲文化巡礼-马六甲海峡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