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寒假【零钱游北京】北京双飞5天丨故宫丨八达岭长城丨军事博物馆丨冰雪嘉年华丨恭王府丨颐和园丨圆明园行程单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★【精选航空】品质航班，广州直飞
                <w:br/>
                ★【省心出行】全程含餐！9正餐让您安心无忧！
                <w:br/>
                ★【品质保证】全程安排服务好、讲解好的优秀专业导游！
                <w:br/>
                ★【故宫博物馆】贴心安排无线耳麦，更好倾听紫禁城沉淀600年的记忆。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北京冰雪嘉年华含套票】让南方的孩子感受一下北方冬日的冰雪狂欢季，畅游冰雪乐园，包含：雪上飞碟（不限次）、飓风墙（不限次）、小冰车、雪地坦克、雪地转转、雪地悠波球、儿童乐园、雪地探宝、充气城堡、雪地蹦床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40-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2025-12-17T05:31:37+08:00</dcterms:created>
  <dcterms:modified xsi:type="dcterms:W3CDTF">2025-12-17T05:31:37+08:00</dcterms:modified>
</cp:coreProperties>
</file>

<file path=docProps/custom.xml><?xml version="1.0" encoding="utf-8"?>
<Properties xmlns="http://schemas.openxmlformats.org/officeDocument/2006/custom-properties" xmlns:vt="http://schemas.openxmlformats.org/officeDocument/2006/docPropsVTypes"/>
</file>