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航司配送的联运酒店不评星，客人不住费用不退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瓦尔帕莱索地区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15大特色餐：传统特色巴西烤肉，伊瓜苏瀑布景区餐厅，卡拉法铁特色烤全羊，瓦尔帕莱索海鲜面，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额外游览用车超时费（导游和司机每天正常工作时间不超过10小时，如超时需加收超时费）； 
                <w:br/>
                6. 行程中所列游览活动之外项目所需的费用； 
                <w:br/>
                7.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2026-05-11T23:42:25+08:00</dcterms:created>
  <dcterms:modified xsi:type="dcterms:W3CDTF">2026-05-11T23:42:25+08:00</dcterms:modified>
</cp:coreProperties>
</file>

<file path=docProps/custom.xml><?xml version="1.0" encoding="utf-8"?>
<Properties xmlns="http://schemas.openxmlformats.org/officeDocument/2006/custom-properties" xmlns:vt="http://schemas.openxmlformats.org/officeDocument/2006/docPropsVTypes"/>
</file>