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20天（南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EU202512221435HC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
                <w:br/>
                参考航班：CZ667 CANBEG 0235/0800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泽蒙小镇】,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交通：飞机
                <w:br/>
              </w:t>
            </w:r>
          </w:p>
        </w:tc>
        <w:tc>
          <w:tcPr/>
          <w:p>
            <w:pPr>
              <w:pStyle w:val="indent"/>
            </w:pPr>
            <w:r>
              <w:rPr>
                <w:rFonts w:ascii="宋体" w:hAnsi="宋体" w:eastAsia="宋体" w:cs="宋体"/>
                <w:color w:val="000000"/>
                <w:sz w:val="20"/>
                <w:szCs w:val="20"/>
              </w:rPr>
              <w:t xml:space="preserve">早餐：X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贝尔格莱德-(大巴约320公里)-克拉奥华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克拉奥华-(大巴约250公里)-布加勒斯特
                <w:br/>
                ●【布加勒斯特】（游览不少于2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布加勒斯特-(大巴约275公里)-保加利亚小镇
                <w:br/>
                ●【布加勒斯特】,今日睡到自然醒，好好享受早餐，休整半天，放慢节奏，减缓旅途的疲惫，午餐后乘车前往保加利亚玫瑰区卡赞勒克附近小镇入住酒店，准备迎接一年一度的盛典。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保加利亚小镇-(大巴约100公里)-卡赞勒克-(大巴约267公里)-索菲亚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黑维兹-(大巴约60公里)-蒂豪尼-(大巴约230公里)-维也纳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维也纳-(大巴约330公里)-布拉格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布拉格-(大巴约206公里)-布尔诺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布尔诺-(大巴约130公里)-布拉迪斯拉发-(大巴约200公里)-布达佩斯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●【布达佩斯】,有“东欧巴黎”和“多瑙河明珠”的美誉。被联合国教科文组织列为珍贵的世界遗产之一。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布达佩斯
                <w:br/>
                ●【布达佩斯】（游览不少于5小时）,有“东欧巴黎”和“多瑙河明珠”的美誉。被联合国教科文组织列为珍贵的世界遗产之一。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3.用餐：行程中标注所含17次早餐和34次正餐（含六顿特色餐：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（5800元人民币/人）注：酒店单房差仅指普通单人间（如团友要求大床单间或单独一人住标双，单房差6800元人）；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2026-04-13T22:04:43+08:00</dcterms:created>
  <dcterms:modified xsi:type="dcterms:W3CDTF">2026-04-13T22:04:43+08:00</dcterms:modified>
</cp:coreProperties>
</file>

<file path=docProps/custom.xml><?xml version="1.0" encoding="utf-8"?>
<Properties xmlns="http://schemas.openxmlformats.org/officeDocument/2006/custom-properties" xmlns:vt="http://schemas.openxmlformats.org/officeDocument/2006/docPropsVTypes"/>
</file>