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（航班仅供参考，具体以实际为准）
                <w:br/>
                酒店早餐或打包早餐后，前往机场乘坐航班飞往誉称“璀璨的北方明珠”的瑞典首都——斯德哥尔摩。斯德哥尔摩市区游览(约30分钟)：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2026-03-04T02:22:37+08:00</dcterms:created>
  <dcterms:modified xsi:type="dcterms:W3CDTF">2026-03-04T02:22:37+08:00</dcterms:modified>
</cp:coreProperties>
</file>

<file path=docProps/custom.xml><?xml version="1.0" encoding="utf-8"?>
<Properties xmlns="http://schemas.openxmlformats.org/officeDocument/2006/custom-properties" xmlns:vt="http://schemas.openxmlformats.org/officeDocument/2006/docPropsVTypes"/>
</file>