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每团不超29人，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★每团不超29人纯玩品质游，升级陆地头等舱横排2+1保姆车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网评三钻版（六盘水酒店参考）：凯宾、希尔曼、希诺、星俪恒、金山银林、水投善善、溪驰、凯泰、绿色森林、土司庄园、时代假日、盘布拉格度假酒店或不低于以上标准酒店
                <w:br/>
                网评四钻版（六盘水酒店参考）：星俪恒，澜铂、时代假日、艾兰国际、雨田、温德姆、美玲假日、博雅、凤凰祥林、锦欣、维也纳、腾龙、凉都印象、云嘉，温德姆，绿色森林或不低于以上标准酒店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2026-05-29T03:37:56+08:00</dcterms:created>
  <dcterms:modified xsi:type="dcterms:W3CDTF">2026-05-29T03:37:56+08:00</dcterms:modified>
</cp:coreProperties>
</file>

<file path=docProps/custom.xml><?xml version="1.0" encoding="utf-8"?>
<Properties xmlns="http://schemas.openxmlformats.org/officeDocument/2006/custom-properties" xmlns:vt="http://schemas.openxmlformats.org/officeDocument/2006/docPropsVTypes"/>
</file>