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【纯净三亚暑期版】海南三亚双飞4天丨蜈支洲岛丨南山文化旅游区丨槟榔谷丨呀诺达热带雨林丨全程近海酒店连住不挪窝行程单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甄选睡眠：全程网评4钻酒店连住不挪窝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8、外籍护照游客参团需加收200元/人
                <w:br/>
                9、如需升级五钻近海版/五钻海景版住宿标准，可补差价升级，具体请单询。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2、住宿：全程当地豪华标准建设双人间（网评4钻，具体酒店参考行程描述），不提供自然单间，出现单男单女，单房差不含，如不补房差，则尽量安排三人间或加床；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2026-06-10T15:18:40+08:00</dcterms:created>
  <dcterms:modified xsi:type="dcterms:W3CDTF">2026-06-10T15:18:40+08:00</dcterms:modified>
</cp:coreProperties>
</file>

<file path=docProps/custom.xml><?xml version="1.0" encoding="utf-8"?>
<Properties xmlns="http://schemas.openxmlformats.org/officeDocument/2006/custom-properties" xmlns:vt="http://schemas.openxmlformats.org/officeDocument/2006/docPropsVTypes"/>
</file>