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自愿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当地自费项目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当地自费项目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自费项：当地自费项目含：【天生三桥风景区】含门票和电梯/环保车+【仙女山国家深林公园】门票，不含：【天生三桥风景区】出口电瓶车15元/人、【仙女山国家深林公园】小火车25元/人，滑雪费用自理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3、门票：不含景点第一道大门票，[当地自费项目498元/人:武隆三桥门票+三桥环保车+三桥观光电梯+仙女山门票 +车导全程综合服务费（需要选择）]；注:此行程为旅行社综合打包价，所有项目不用不退费，无任何门票优惠，敬请谅解；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当地自费项目：门票+小交通</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1、当地自费项目：498元/成人：武隆三桥门票+三桥环保车+三桥观光电梯+仙女山门票 +车导全程综合服务费（需要选择）;
                <w:br/>
                <w:br/>
                2、当地自费项目：小孩收费：中童（6-13岁）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