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探索极境之南，深⼊南极半岛+巴西27天 | 延长线 | 布宜诺斯艾利斯｜乌斯怀亚｜依瓜苏 | 南极半岛、南设得兰群岛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66D20260128NJ27D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晚餐后送往机场，搭乘次日凌晨航班，经转机地飞回国内。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圣保罗—转机地
                <w:br/>
                在转机地机场转机返回中国。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转机地—国内
                <w:br/>
                抵达国内机场，行程圆满结束！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1、全程领队司导服务费3700元/人（含海神号邮轮服务费15美元/晚，共165美金）；
                <w:br/>
                2、没有美签的客人不含：阿根廷签证费；乌拉圭签证费；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