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
                <w:br/>
                到达城市：广州/深圳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乌鲁木齐/昌吉（网评3钻）：国泰/宜必思机场店/锦江之星/米古里/欢橙/域上栢悦/昌吉星程/农博园/凯森云尚/玖盛博达或不低于以上标准
                <w:br/>
                精河（网评3钻）：精河守约/精河温州大酒店或或不低于以上标准
                <w:br/>
                博乐（网评3钻）：玉强/世纪枫尚或或不低于以上标准
                <w:br/>
                伊宁（网评3钻）：伊犁河大酒店/金丽源/金尊/美豪/天缘商务/斯维登/花城/或或不低于以上标准
                <w:br/>
                那拉提：古轮/花巢/迎宾/云渡/草原或或不低于以上标准
                <w:br/>
                升级和静/和硕（网评4钻）：和静陌然/喜悦/爱派/东归/和硕龙庭温泉或或不低于以上标准
                <w:br/>
                升级乌鲁木齐/昌吉（网评4钻）：睿奥斯/迎港/乔戈里/西域国际/格林东方（天山明月城店）/米东国际/玉京昆仑/上容/昌吉容锦/华东容锦/东升鸿福/铂雅蓝湾/曦隆奥太或或不低于以上标准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备注：薰衣草、维吾尔家访乃参观性景区购物，不算旅游购物店，娱乐项目（如喀赞其马车、歌舞、水果宴等不在推荐自费景点范围，属于景区娱乐项目，自愿选择参加）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2026-06-04T04:52:59+08:00</dcterms:created>
  <dcterms:modified xsi:type="dcterms:W3CDTF">2026-06-04T04:52:59+08:00</dcterms:modified>
</cp:coreProperties>
</file>

<file path=docProps/custom.xml><?xml version="1.0" encoding="utf-8"?>
<Properties xmlns="http://schemas.openxmlformats.org/officeDocument/2006/custom-properties" xmlns:vt="http://schemas.openxmlformats.org/officeDocument/2006/docPropsVTypes"/>
</file>