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（1）单房差补350元/人，退房差200元/人
                <w:br/>
                （2）参考酒店神农架木鱼云栖精宿、荣逸精致或同级；宜昌夷陵华美达或同级；宣恩源达或同级；女儿城纽宾凯，漫希或同级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2026-07-29T21:16:32+08:00</dcterms:created>
  <dcterms:modified xsi:type="dcterms:W3CDTF">2026-07-29T21:16:32+08:00</dcterms:modified>
</cp:coreProperties>
</file>

<file path=docProps/custom.xml><?xml version="1.0" encoding="utf-8"?>
<Properties xmlns="http://schemas.openxmlformats.org/officeDocument/2006/custom-properties" xmlns:vt="http://schemas.openxmlformats.org/officeDocument/2006/docPropsVTypes"/>
</file>