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自费项：黄果树电瓶车50+保险10元/人必须乘坐，请现付导游；不含景区大扶梯单程30元/人，往返50元/人，自愿消费原则。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388元/人，请现付导游（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西江/荔波小七孔/黄果树/天河潭/梵净山必乘交通车、保险费用</w:t>
            </w:r>
          </w:p>
        </w:tc>
        <w:tc>
          <w:tcPr/>
          <w:p>
            <w:pPr>
              <w:pStyle w:val="indent"/>
            </w:pPr>
            <w:r>
              <w:rPr>
                <w:rFonts w:ascii="宋体" w:hAnsi="宋体" w:eastAsia="宋体" w:cs="宋体"/>
                <w:color w:val="000000"/>
                <w:sz w:val="20"/>
                <w:szCs w:val="20"/>
              </w:rPr>
              <w:t xml:space="preserve">
                景区内必需产生消费保险、环保车等：388元/人，请现付导游；费用明细如下：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2026-06-10T14:52:36+08:00</dcterms:created>
  <dcterms:modified xsi:type="dcterms:W3CDTF">2026-06-10T14:52:36+08:00</dcterms:modified>
</cp:coreProperties>
</file>

<file path=docProps/custom.xml><?xml version="1.0" encoding="utf-8"?>
<Properties xmlns="http://schemas.openxmlformats.org/officeDocument/2006/custom-properties" xmlns:vt="http://schemas.openxmlformats.org/officeDocument/2006/docPropsVTypes"/>
</file>